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84CE0" w14:textId="01AC9ADD" w:rsidR="003423F0" w:rsidRPr="006A1690" w:rsidRDefault="00CB7DFF" w:rsidP="00CB7DFF">
      <w:pPr>
        <w:jc w:val="center"/>
        <w:rPr>
          <w:b/>
          <w:szCs w:val="24"/>
        </w:rPr>
      </w:pPr>
      <w:r w:rsidRPr="006A1690">
        <w:rPr>
          <w:b/>
          <w:szCs w:val="24"/>
        </w:rPr>
        <w:t>EBTJV Catchment Web Updater</w:t>
      </w:r>
    </w:p>
    <w:p w14:paraId="4C34FFAE" w14:textId="77777777" w:rsidR="004A6540" w:rsidRPr="006A1690" w:rsidRDefault="004A6540">
      <w:pPr>
        <w:rPr>
          <w:noProof/>
          <w:szCs w:val="24"/>
        </w:rPr>
      </w:pPr>
    </w:p>
    <w:p w14:paraId="7173ECE9" w14:textId="47BE713D" w:rsidR="006A1690" w:rsidRDefault="004A6540">
      <w:pPr>
        <w:rPr>
          <w:noProof/>
          <w:szCs w:val="24"/>
        </w:rPr>
      </w:pPr>
      <w:r w:rsidRPr="006A1690">
        <w:rPr>
          <w:noProof/>
          <w:szCs w:val="24"/>
        </w:rPr>
        <w:t>Cooperator</w:t>
      </w:r>
      <w:r w:rsidR="003C39A9">
        <w:rPr>
          <w:noProof/>
          <w:szCs w:val="24"/>
        </w:rPr>
        <w:t>s</w:t>
      </w:r>
      <w:r w:rsidRPr="006A1690">
        <w:rPr>
          <w:noProof/>
          <w:szCs w:val="24"/>
        </w:rPr>
        <w:t xml:space="preserve">: </w:t>
      </w:r>
    </w:p>
    <w:p w14:paraId="075D78E1" w14:textId="2AE78737" w:rsidR="00802C99" w:rsidRDefault="00802C99">
      <w:pPr>
        <w:rPr>
          <w:noProof/>
          <w:szCs w:val="24"/>
        </w:rPr>
      </w:pPr>
    </w:p>
    <w:p w14:paraId="6C3C3EFE" w14:textId="04FE9D11" w:rsidR="00387173" w:rsidRDefault="00FA0D76">
      <w:pPr>
        <w:rPr>
          <w:noProof/>
          <w:szCs w:val="24"/>
        </w:rPr>
      </w:pPr>
      <w:r>
        <w:rPr>
          <w:noProof/>
          <w:szCs w:val="24"/>
        </w:rPr>
        <w:tab/>
      </w:r>
      <w:r w:rsidR="00752B6F">
        <w:rPr>
          <w:noProof/>
          <w:szCs w:val="24"/>
        </w:rPr>
        <w:t>USFWS Northeast Fishery Center</w:t>
      </w:r>
    </w:p>
    <w:p w14:paraId="0F3B09CC" w14:textId="5B371C0E" w:rsidR="00FA0D76" w:rsidRDefault="00FA0D76" w:rsidP="00387173">
      <w:pPr>
        <w:ind w:firstLine="720"/>
        <w:rPr>
          <w:noProof/>
          <w:szCs w:val="24"/>
        </w:rPr>
      </w:pPr>
      <w:r>
        <w:rPr>
          <w:noProof/>
          <w:szCs w:val="24"/>
        </w:rPr>
        <w:t>USDA Forest Service Northern Research Station</w:t>
      </w:r>
    </w:p>
    <w:p w14:paraId="6278300E" w14:textId="7C1F9500" w:rsidR="00FA0D76" w:rsidRDefault="00FA0D76">
      <w:pPr>
        <w:rPr>
          <w:noProof/>
          <w:szCs w:val="24"/>
        </w:rPr>
      </w:pPr>
      <w:r>
        <w:rPr>
          <w:noProof/>
          <w:szCs w:val="24"/>
        </w:rPr>
        <w:tab/>
        <w:t>USGS Leetown Science Center</w:t>
      </w:r>
      <w:r w:rsidR="00081B39">
        <w:rPr>
          <w:noProof/>
          <w:szCs w:val="24"/>
        </w:rPr>
        <w:t>, Conte Anadromous Fish Research Center</w:t>
      </w:r>
    </w:p>
    <w:p w14:paraId="795970B3" w14:textId="77777777" w:rsidR="005B5F76" w:rsidRPr="006A1690" w:rsidRDefault="005B5F76">
      <w:pPr>
        <w:rPr>
          <w:szCs w:val="24"/>
        </w:rPr>
      </w:pPr>
    </w:p>
    <w:p w14:paraId="774569E7" w14:textId="18C8EEB8" w:rsidR="009B0404" w:rsidRPr="006A1690" w:rsidRDefault="009B0404">
      <w:pPr>
        <w:rPr>
          <w:szCs w:val="24"/>
        </w:rPr>
      </w:pPr>
      <w:r w:rsidRPr="006A1690">
        <w:rPr>
          <w:szCs w:val="24"/>
        </w:rPr>
        <w:t>The scope of work for this agreement identifies the following Objective:</w:t>
      </w:r>
    </w:p>
    <w:p w14:paraId="3CFCABE5" w14:textId="77777777" w:rsidR="009B0404" w:rsidRPr="006A1690" w:rsidRDefault="009B0404">
      <w:pPr>
        <w:rPr>
          <w:szCs w:val="24"/>
        </w:rPr>
      </w:pPr>
    </w:p>
    <w:p w14:paraId="751897E4" w14:textId="27F304CA" w:rsidR="00F950FE" w:rsidRPr="006A1690" w:rsidRDefault="00DE1123" w:rsidP="00802C99">
      <w:pPr>
        <w:ind w:left="720"/>
        <w:rPr>
          <w:b/>
          <w:szCs w:val="24"/>
        </w:rPr>
      </w:pPr>
      <w:r w:rsidRPr="006A1690">
        <w:rPr>
          <w:b/>
          <w:szCs w:val="24"/>
        </w:rPr>
        <w:t>Creation of a web application that w</w:t>
      </w:r>
      <w:r w:rsidR="004E1F42">
        <w:rPr>
          <w:b/>
          <w:szCs w:val="24"/>
        </w:rPr>
        <w:t>ould</w:t>
      </w:r>
      <w:r w:rsidRPr="006A1690">
        <w:rPr>
          <w:b/>
          <w:szCs w:val="24"/>
        </w:rPr>
        <w:t xml:space="preserve"> allow </w:t>
      </w:r>
      <w:r w:rsidR="00370129" w:rsidRPr="006A1690">
        <w:rPr>
          <w:b/>
          <w:szCs w:val="24"/>
        </w:rPr>
        <w:t xml:space="preserve">credentialed users to </w:t>
      </w:r>
      <w:r w:rsidRPr="006A1690">
        <w:rPr>
          <w:b/>
          <w:szCs w:val="24"/>
        </w:rPr>
        <w:t>modif</w:t>
      </w:r>
      <w:r w:rsidR="00370129" w:rsidRPr="006A1690">
        <w:rPr>
          <w:b/>
          <w:szCs w:val="24"/>
        </w:rPr>
        <w:t>y</w:t>
      </w:r>
      <w:r w:rsidRPr="006A1690">
        <w:rPr>
          <w:b/>
          <w:szCs w:val="24"/>
        </w:rPr>
        <w:t xml:space="preserve"> and update EBTJV catchment</w:t>
      </w:r>
      <w:r w:rsidR="00370129" w:rsidRPr="006A1690">
        <w:rPr>
          <w:b/>
          <w:szCs w:val="24"/>
        </w:rPr>
        <w:t xml:space="preserve"> classifications </w:t>
      </w:r>
      <w:r w:rsidR="00935F5A" w:rsidRPr="006A1690">
        <w:rPr>
          <w:b/>
          <w:szCs w:val="24"/>
        </w:rPr>
        <w:t>for presence of</w:t>
      </w:r>
      <w:r w:rsidRPr="006A1690">
        <w:rPr>
          <w:b/>
          <w:szCs w:val="24"/>
        </w:rPr>
        <w:t xml:space="preserve"> salmonid </w:t>
      </w:r>
      <w:r w:rsidR="00370129" w:rsidRPr="006A1690">
        <w:rPr>
          <w:b/>
          <w:szCs w:val="24"/>
        </w:rPr>
        <w:t>species</w:t>
      </w:r>
    </w:p>
    <w:p w14:paraId="4FBFE219" w14:textId="77777777" w:rsidR="00F34AAE" w:rsidRPr="006A1690" w:rsidRDefault="00F34AAE" w:rsidP="00F34AAE">
      <w:pPr>
        <w:rPr>
          <w:b/>
          <w:szCs w:val="24"/>
        </w:rPr>
      </w:pPr>
    </w:p>
    <w:p w14:paraId="0F51C475" w14:textId="22571804" w:rsidR="00F34AAE" w:rsidRDefault="00644F2F" w:rsidP="00F34AAE">
      <w:pPr>
        <w:shd w:val="clear" w:color="auto" w:fill="FFFFFF"/>
        <w:rPr>
          <w:color w:val="222222"/>
          <w:szCs w:val="24"/>
        </w:rPr>
      </w:pPr>
      <w:r>
        <w:rPr>
          <w:color w:val="222222"/>
          <w:szCs w:val="24"/>
        </w:rPr>
        <w:t>Background and j</w:t>
      </w:r>
      <w:r w:rsidR="00935F5A" w:rsidRPr="006A1690">
        <w:rPr>
          <w:color w:val="222222"/>
          <w:szCs w:val="24"/>
        </w:rPr>
        <w:t>ustificatio</w:t>
      </w:r>
      <w:r>
        <w:rPr>
          <w:color w:val="222222"/>
          <w:szCs w:val="24"/>
        </w:rPr>
        <w:t>n</w:t>
      </w:r>
      <w:r w:rsidR="00F34AAE" w:rsidRPr="006A1690">
        <w:rPr>
          <w:color w:val="222222"/>
          <w:szCs w:val="24"/>
        </w:rPr>
        <w:t xml:space="preserve">: </w:t>
      </w:r>
    </w:p>
    <w:p w14:paraId="6444D811" w14:textId="77777777" w:rsidR="006A1690" w:rsidRPr="006A1690" w:rsidRDefault="006A1690" w:rsidP="00F34AAE">
      <w:pPr>
        <w:shd w:val="clear" w:color="auto" w:fill="FFFFFF"/>
        <w:rPr>
          <w:color w:val="222222"/>
          <w:szCs w:val="24"/>
        </w:rPr>
      </w:pPr>
    </w:p>
    <w:p w14:paraId="56B35B13" w14:textId="514FE051" w:rsidR="00644F2F" w:rsidRDefault="00846E94" w:rsidP="004E1F42">
      <w:pPr>
        <w:ind w:left="720"/>
        <w:rPr>
          <w:szCs w:val="24"/>
        </w:rPr>
      </w:pPr>
      <w:r>
        <w:rPr>
          <w:szCs w:val="24"/>
        </w:rPr>
        <w:t xml:space="preserve">The Eastern Brook Trout Joint Venture </w:t>
      </w:r>
      <w:r w:rsidR="00644F2F">
        <w:rPr>
          <w:szCs w:val="24"/>
        </w:rPr>
        <w:t xml:space="preserve">(EBTJV) </w:t>
      </w:r>
      <w:r>
        <w:rPr>
          <w:szCs w:val="24"/>
        </w:rPr>
        <w:t xml:space="preserve">concluded </w:t>
      </w:r>
      <w:r w:rsidR="00644F2F">
        <w:rPr>
          <w:szCs w:val="24"/>
        </w:rPr>
        <w:t>its most recent</w:t>
      </w:r>
      <w:r>
        <w:rPr>
          <w:szCs w:val="24"/>
        </w:rPr>
        <w:t xml:space="preserve"> range-wide</w:t>
      </w:r>
      <w:r w:rsidR="00644F2F">
        <w:rPr>
          <w:szCs w:val="24"/>
        </w:rPr>
        <w:t xml:space="preserve"> salmonid</w:t>
      </w:r>
      <w:r>
        <w:rPr>
          <w:szCs w:val="24"/>
        </w:rPr>
        <w:t xml:space="preserve"> assessment in 2015</w:t>
      </w:r>
      <w:r w:rsidR="00644F2F">
        <w:rPr>
          <w:szCs w:val="24"/>
        </w:rPr>
        <w:t xml:space="preserve"> and made the data available to view and download at </w:t>
      </w:r>
      <w:hyperlink r:id="rId6" w:history="1">
        <w:r w:rsidR="00752B6F">
          <w:rPr>
            <w:rStyle w:val="Hyperlink"/>
          </w:rPr>
          <w:t>https://ecosheds.org/ebtjv</w:t>
        </w:r>
      </w:hyperlink>
      <w:r w:rsidR="00644F2F">
        <w:rPr>
          <w:szCs w:val="24"/>
        </w:rPr>
        <w:t xml:space="preserve">. An update to this assessment was performed for the state of Connecticut in 2016 at their request, and since then other states have also requested updates in light of new sample data. In its current form, updates must be made to the layer using a GIS and then uploaded onto the web. There is enough demand to warrant the creation of a web application that would enable resource managers to update the layer themselves, thus cutting out the expense and delay of contracting out </w:t>
      </w:r>
      <w:r w:rsidR="00B762A9">
        <w:rPr>
          <w:szCs w:val="24"/>
        </w:rPr>
        <w:t>this process.</w:t>
      </w:r>
    </w:p>
    <w:p w14:paraId="275E5B48" w14:textId="77777777" w:rsidR="00644F2F" w:rsidRDefault="00644F2F" w:rsidP="00846E94">
      <w:pPr>
        <w:ind w:left="360"/>
        <w:rPr>
          <w:szCs w:val="24"/>
        </w:rPr>
      </w:pPr>
    </w:p>
    <w:p w14:paraId="58A17154" w14:textId="133B8A9D" w:rsidR="00846E94" w:rsidRPr="00846E94" w:rsidRDefault="00846E94" w:rsidP="004E1F42">
      <w:pPr>
        <w:ind w:left="720"/>
        <w:rPr>
          <w:szCs w:val="24"/>
        </w:rPr>
      </w:pPr>
      <w:r w:rsidRPr="00846E94">
        <w:rPr>
          <w:szCs w:val="24"/>
        </w:rPr>
        <w:t>Achievement of th</w:t>
      </w:r>
      <w:r w:rsidR="00B762A9">
        <w:rPr>
          <w:szCs w:val="24"/>
        </w:rPr>
        <w:t xml:space="preserve">e scope of work objective </w:t>
      </w:r>
      <w:r w:rsidRPr="00846E94">
        <w:rPr>
          <w:szCs w:val="24"/>
        </w:rPr>
        <w:t>w</w:t>
      </w:r>
      <w:r w:rsidR="00B762A9">
        <w:rPr>
          <w:szCs w:val="24"/>
        </w:rPr>
        <w:t>ould</w:t>
      </w:r>
      <w:r w:rsidRPr="00846E94">
        <w:rPr>
          <w:szCs w:val="24"/>
        </w:rPr>
        <w:t xml:space="preserve"> enable </w:t>
      </w:r>
      <w:r w:rsidR="00644F2F">
        <w:rPr>
          <w:szCs w:val="24"/>
        </w:rPr>
        <w:t>resource</w:t>
      </w:r>
      <w:r w:rsidRPr="00846E94">
        <w:rPr>
          <w:szCs w:val="24"/>
        </w:rPr>
        <w:t xml:space="preserve"> managers to update their own catchment classifications on their own time table. This w</w:t>
      </w:r>
      <w:r w:rsidR="00B762A9">
        <w:rPr>
          <w:szCs w:val="24"/>
        </w:rPr>
        <w:t>ould</w:t>
      </w:r>
      <w:r w:rsidRPr="00846E94">
        <w:rPr>
          <w:szCs w:val="24"/>
        </w:rPr>
        <w:t xml:space="preserve"> aid managers, researchers, and stakeholders alike as they w</w:t>
      </w:r>
      <w:r w:rsidR="00B762A9">
        <w:rPr>
          <w:szCs w:val="24"/>
        </w:rPr>
        <w:t>ould</w:t>
      </w:r>
      <w:r w:rsidRPr="00846E94">
        <w:rPr>
          <w:szCs w:val="24"/>
        </w:rPr>
        <w:t xml:space="preserve"> have access to the most up to date spatial information on salmonid population presence, while also informing the general public on the state of the resource. </w:t>
      </w:r>
    </w:p>
    <w:p w14:paraId="14830E97" w14:textId="77777777" w:rsidR="00F34AAE" w:rsidRPr="006A1690" w:rsidRDefault="00F34AAE" w:rsidP="00F34AAE">
      <w:pPr>
        <w:shd w:val="clear" w:color="auto" w:fill="FFFFFF"/>
        <w:rPr>
          <w:b/>
          <w:color w:val="222222"/>
          <w:szCs w:val="24"/>
        </w:rPr>
      </w:pPr>
    </w:p>
    <w:p w14:paraId="25560238" w14:textId="381D8F98" w:rsidR="00876227" w:rsidRDefault="006A1690" w:rsidP="00876227">
      <w:pPr>
        <w:shd w:val="clear" w:color="auto" w:fill="FFFFFF"/>
        <w:rPr>
          <w:color w:val="222222"/>
          <w:szCs w:val="24"/>
        </w:rPr>
      </w:pPr>
      <w:r>
        <w:rPr>
          <w:color w:val="222222"/>
          <w:szCs w:val="24"/>
        </w:rPr>
        <w:t>Steps to achieve objective:</w:t>
      </w:r>
    </w:p>
    <w:p w14:paraId="5A7ECFA4" w14:textId="3266A01A" w:rsidR="006A1690" w:rsidRDefault="006A1690" w:rsidP="00876227">
      <w:pPr>
        <w:shd w:val="clear" w:color="auto" w:fill="FFFFFF"/>
        <w:rPr>
          <w:color w:val="222222"/>
          <w:szCs w:val="24"/>
        </w:rPr>
      </w:pPr>
    </w:p>
    <w:p w14:paraId="2618CA75" w14:textId="4E1AAFE8" w:rsidR="004E1F42" w:rsidRDefault="004E1F42" w:rsidP="004E1F42">
      <w:pPr>
        <w:pStyle w:val="ListParagraph"/>
        <w:numPr>
          <w:ilvl w:val="0"/>
          <w:numId w:val="9"/>
        </w:numPr>
        <w:shd w:val="clear" w:color="auto" w:fill="FFFFFF"/>
        <w:rPr>
          <w:color w:val="222222"/>
          <w:szCs w:val="24"/>
        </w:rPr>
      </w:pPr>
      <w:r>
        <w:rPr>
          <w:color w:val="222222"/>
          <w:szCs w:val="24"/>
        </w:rPr>
        <w:t>Expansion of the existing, or creation of a new web platform that would allow for credentialed users to login and modify catchment classifications.</w:t>
      </w:r>
    </w:p>
    <w:p w14:paraId="0B613F4F" w14:textId="2E86807B" w:rsidR="004E1F42" w:rsidRDefault="004E1F42" w:rsidP="004E1F42">
      <w:pPr>
        <w:pStyle w:val="ListParagraph"/>
        <w:numPr>
          <w:ilvl w:val="0"/>
          <w:numId w:val="9"/>
        </w:numPr>
        <w:shd w:val="clear" w:color="auto" w:fill="FFFFFF"/>
        <w:rPr>
          <w:color w:val="222222"/>
          <w:szCs w:val="24"/>
        </w:rPr>
      </w:pPr>
      <w:r>
        <w:rPr>
          <w:color w:val="222222"/>
          <w:szCs w:val="24"/>
        </w:rPr>
        <w:t xml:space="preserve">Writing of computer code to communicate between the web browser and the backend database to update and track </w:t>
      </w:r>
      <w:r w:rsidR="00802C99">
        <w:rPr>
          <w:color w:val="222222"/>
          <w:szCs w:val="24"/>
        </w:rPr>
        <w:t xml:space="preserve">specified </w:t>
      </w:r>
      <w:r>
        <w:rPr>
          <w:color w:val="222222"/>
          <w:szCs w:val="24"/>
        </w:rPr>
        <w:t>changes in catchments</w:t>
      </w:r>
      <w:r w:rsidR="00802C99">
        <w:rPr>
          <w:color w:val="222222"/>
          <w:szCs w:val="24"/>
        </w:rPr>
        <w:t>.</w:t>
      </w:r>
    </w:p>
    <w:p w14:paraId="2FD01E43" w14:textId="10A0CF7E" w:rsidR="004E1F42" w:rsidRDefault="004E1F42" w:rsidP="004E1F42">
      <w:pPr>
        <w:pStyle w:val="ListParagraph"/>
        <w:numPr>
          <w:ilvl w:val="0"/>
          <w:numId w:val="9"/>
        </w:numPr>
        <w:shd w:val="clear" w:color="auto" w:fill="FFFFFF"/>
        <w:rPr>
          <w:color w:val="222222"/>
          <w:szCs w:val="24"/>
        </w:rPr>
      </w:pPr>
      <w:r>
        <w:rPr>
          <w:color w:val="222222"/>
          <w:szCs w:val="24"/>
        </w:rPr>
        <w:t xml:space="preserve">Development of a versioning system that would allow end users to </w:t>
      </w:r>
      <w:r w:rsidR="00802C99">
        <w:rPr>
          <w:color w:val="222222"/>
          <w:szCs w:val="24"/>
        </w:rPr>
        <w:t>determine which version of the data they have and retrieve it to replicate analysis results.</w:t>
      </w:r>
    </w:p>
    <w:p w14:paraId="0444BD50" w14:textId="27D37A06" w:rsidR="00802C99" w:rsidRDefault="00802C99" w:rsidP="004E1F42">
      <w:pPr>
        <w:pStyle w:val="ListParagraph"/>
        <w:numPr>
          <w:ilvl w:val="0"/>
          <w:numId w:val="9"/>
        </w:numPr>
        <w:shd w:val="clear" w:color="auto" w:fill="FFFFFF"/>
        <w:rPr>
          <w:color w:val="222222"/>
          <w:szCs w:val="24"/>
        </w:rPr>
      </w:pPr>
      <w:r>
        <w:rPr>
          <w:color w:val="222222"/>
          <w:szCs w:val="24"/>
        </w:rPr>
        <w:t>Develop</w:t>
      </w:r>
      <w:r w:rsidR="009E1B86">
        <w:rPr>
          <w:color w:val="222222"/>
          <w:szCs w:val="24"/>
        </w:rPr>
        <w:t>ment of</w:t>
      </w:r>
      <w:r>
        <w:rPr>
          <w:color w:val="222222"/>
          <w:szCs w:val="24"/>
        </w:rPr>
        <w:t xml:space="preserve"> back-end scripts to automatically update the associated habitat patch layer after changes have been made to the catchment layer.</w:t>
      </w:r>
    </w:p>
    <w:p w14:paraId="76FCEE80" w14:textId="1F49E433" w:rsidR="00FA0D76" w:rsidRPr="004E1F42" w:rsidRDefault="00FA0D76" w:rsidP="004E1F42">
      <w:pPr>
        <w:pStyle w:val="ListParagraph"/>
        <w:numPr>
          <w:ilvl w:val="0"/>
          <w:numId w:val="9"/>
        </w:numPr>
        <w:shd w:val="clear" w:color="auto" w:fill="FFFFFF"/>
        <w:rPr>
          <w:color w:val="222222"/>
          <w:szCs w:val="24"/>
        </w:rPr>
      </w:pPr>
      <w:r>
        <w:rPr>
          <w:color w:val="222222"/>
          <w:szCs w:val="24"/>
        </w:rPr>
        <w:t>Design and conduct an instructional webinar</w:t>
      </w:r>
      <w:r w:rsidR="00C7622D">
        <w:rPr>
          <w:color w:val="222222"/>
          <w:szCs w:val="24"/>
        </w:rPr>
        <w:t xml:space="preserve"> on tool operation.</w:t>
      </w:r>
    </w:p>
    <w:p w14:paraId="6034C496" w14:textId="70C437D7" w:rsidR="004E1F42" w:rsidRDefault="004E1F42" w:rsidP="004E1F42">
      <w:pPr>
        <w:shd w:val="clear" w:color="auto" w:fill="FFFFFF"/>
        <w:ind w:left="720"/>
        <w:rPr>
          <w:color w:val="222222"/>
          <w:szCs w:val="24"/>
        </w:rPr>
      </w:pPr>
    </w:p>
    <w:p w14:paraId="329F1F9A" w14:textId="1D05B381" w:rsidR="0016448D" w:rsidRDefault="0016448D">
      <w:pPr>
        <w:rPr>
          <w:color w:val="222222"/>
          <w:szCs w:val="24"/>
        </w:rPr>
      </w:pPr>
      <w:r>
        <w:rPr>
          <w:color w:val="222222"/>
          <w:szCs w:val="24"/>
        </w:rPr>
        <w:br w:type="page"/>
      </w:r>
    </w:p>
    <w:p w14:paraId="7EC41422" w14:textId="77777777" w:rsidR="00C7622D" w:rsidRDefault="00C7622D" w:rsidP="0016448D">
      <w:pPr>
        <w:shd w:val="clear" w:color="auto" w:fill="FFFFFF"/>
        <w:rPr>
          <w:color w:val="222222"/>
          <w:szCs w:val="24"/>
        </w:rPr>
      </w:pPr>
      <w:bookmarkStart w:id="0" w:name="_GoBack"/>
      <w:bookmarkEnd w:id="0"/>
    </w:p>
    <w:p w14:paraId="25BC7E39" w14:textId="5D755F07" w:rsidR="006A1690" w:rsidRPr="006A1690" w:rsidRDefault="006A1690" w:rsidP="00876227">
      <w:pPr>
        <w:shd w:val="clear" w:color="auto" w:fill="FFFFFF"/>
        <w:rPr>
          <w:color w:val="222222"/>
          <w:szCs w:val="24"/>
        </w:rPr>
      </w:pPr>
      <w:r>
        <w:rPr>
          <w:color w:val="222222"/>
          <w:szCs w:val="24"/>
        </w:rPr>
        <w:t>Expected products:</w:t>
      </w:r>
    </w:p>
    <w:p w14:paraId="6F9FD770" w14:textId="77777777" w:rsidR="00876227" w:rsidRPr="006A1690" w:rsidRDefault="00876227" w:rsidP="00876227">
      <w:pPr>
        <w:rPr>
          <w:szCs w:val="24"/>
        </w:rPr>
      </w:pPr>
    </w:p>
    <w:p w14:paraId="2EABB4EE" w14:textId="32E94EB7" w:rsidR="00B4131E" w:rsidRDefault="00802C99" w:rsidP="00802C99">
      <w:pPr>
        <w:pStyle w:val="ListParagraph"/>
        <w:numPr>
          <w:ilvl w:val="0"/>
          <w:numId w:val="10"/>
        </w:numPr>
        <w:rPr>
          <w:szCs w:val="24"/>
        </w:rPr>
      </w:pPr>
      <w:r>
        <w:rPr>
          <w:szCs w:val="24"/>
        </w:rPr>
        <w:t>A web application that allows credentialed users to login and modify the existing catchment layer.</w:t>
      </w:r>
    </w:p>
    <w:p w14:paraId="1A94D35C" w14:textId="3B7D9A72" w:rsidR="00802C99" w:rsidRDefault="00802C99" w:rsidP="00802C99">
      <w:pPr>
        <w:pStyle w:val="ListParagraph"/>
        <w:numPr>
          <w:ilvl w:val="0"/>
          <w:numId w:val="10"/>
        </w:numPr>
        <w:rPr>
          <w:szCs w:val="24"/>
        </w:rPr>
      </w:pPr>
      <w:r>
        <w:rPr>
          <w:szCs w:val="24"/>
        </w:rPr>
        <w:t>A versioned catchment layer that contains recent catchment updates and is available to view and download.</w:t>
      </w:r>
    </w:p>
    <w:p w14:paraId="12429259" w14:textId="1D8C3163" w:rsidR="00802C99" w:rsidRDefault="00802C99" w:rsidP="00802C99">
      <w:pPr>
        <w:pStyle w:val="ListParagraph"/>
        <w:numPr>
          <w:ilvl w:val="0"/>
          <w:numId w:val="10"/>
        </w:numPr>
        <w:rPr>
          <w:szCs w:val="24"/>
        </w:rPr>
      </w:pPr>
      <w:r>
        <w:rPr>
          <w:szCs w:val="24"/>
        </w:rPr>
        <w:t>A versioned habitat patch layer that reflects changes to the underlying catchment layer and is available to view and download.</w:t>
      </w:r>
    </w:p>
    <w:p w14:paraId="264F5FA9" w14:textId="309DD5F9" w:rsidR="00C7622D" w:rsidRPr="00802C99" w:rsidRDefault="00C7622D" w:rsidP="00802C99">
      <w:pPr>
        <w:pStyle w:val="ListParagraph"/>
        <w:numPr>
          <w:ilvl w:val="0"/>
          <w:numId w:val="10"/>
        </w:numPr>
        <w:rPr>
          <w:szCs w:val="24"/>
        </w:rPr>
      </w:pPr>
      <w:r>
        <w:rPr>
          <w:szCs w:val="24"/>
        </w:rPr>
        <w:t>Trained end-users</w:t>
      </w:r>
    </w:p>
    <w:p w14:paraId="0C48EDA0" w14:textId="77777777" w:rsidR="00B4131E" w:rsidRPr="006A1690" w:rsidRDefault="00B4131E" w:rsidP="00876227">
      <w:pPr>
        <w:rPr>
          <w:szCs w:val="24"/>
        </w:rPr>
      </w:pPr>
    </w:p>
    <w:p w14:paraId="31D1F530" w14:textId="5FB8CD49" w:rsidR="00DE7213" w:rsidRPr="00802C99" w:rsidRDefault="00876227" w:rsidP="00802C99">
      <w:pPr>
        <w:rPr>
          <w:b/>
          <w:szCs w:val="24"/>
        </w:rPr>
      </w:pPr>
      <w:r w:rsidRPr="006A1690">
        <w:rPr>
          <w:szCs w:val="24"/>
        </w:rPr>
        <w:t>Budget</w:t>
      </w:r>
      <w:r w:rsidR="00846E94">
        <w:rPr>
          <w:szCs w:val="24"/>
        </w:rPr>
        <w:t>:</w:t>
      </w:r>
    </w:p>
    <w:p w14:paraId="66670593" w14:textId="77777777" w:rsidR="004976F6" w:rsidRPr="006A1690" w:rsidRDefault="004976F6" w:rsidP="003423F0">
      <w:pPr>
        <w:rPr>
          <w:b/>
          <w:szCs w:val="24"/>
        </w:rPr>
      </w:pPr>
    </w:p>
    <w:tbl>
      <w:tblPr>
        <w:tblW w:w="5760" w:type="dxa"/>
        <w:jc w:val="center"/>
        <w:tblLook w:val="04A0" w:firstRow="1" w:lastRow="0" w:firstColumn="1" w:lastColumn="0" w:noHBand="0" w:noVBand="1"/>
      </w:tblPr>
      <w:tblGrid>
        <w:gridCol w:w="2240"/>
        <w:gridCol w:w="1760"/>
        <w:gridCol w:w="1760"/>
      </w:tblGrid>
      <w:tr w:rsidR="0016448D" w:rsidRPr="006A1690" w14:paraId="7CB2EA72" w14:textId="77777777" w:rsidTr="0016448D">
        <w:trPr>
          <w:trHeight w:val="1275"/>
          <w:jc w:val="center"/>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4DBD09" w14:textId="6F898651" w:rsidR="0016448D" w:rsidRPr="006A1690" w:rsidRDefault="0016448D" w:rsidP="00C7622D">
            <w:pPr>
              <w:jc w:val="center"/>
              <w:rPr>
                <w:b/>
                <w:bCs/>
                <w:color w:val="000000"/>
                <w:szCs w:val="24"/>
              </w:rPr>
            </w:pPr>
          </w:p>
        </w:tc>
        <w:tc>
          <w:tcPr>
            <w:tcW w:w="1760" w:type="dxa"/>
            <w:tcBorders>
              <w:top w:val="single" w:sz="8" w:space="0" w:color="auto"/>
              <w:left w:val="nil"/>
              <w:bottom w:val="single" w:sz="8" w:space="0" w:color="auto"/>
              <w:right w:val="single" w:sz="8" w:space="0" w:color="auto"/>
            </w:tcBorders>
            <w:shd w:val="clear" w:color="auto" w:fill="auto"/>
            <w:vAlign w:val="center"/>
            <w:hideMark/>
          </w:tcPr>
          <w:p w14:paraId="5659B392" w14:textId="77777777" w:rsidR="0016448D" w:rsidRPr="006A1690" w:rsidRDefault="0016448D" w:rsidP="00C7622D">
            <w:pPr>
              <w:jc w:val="center"/>
              <w:rPr>
                <w:b/>
                <w:bCs/>
                <w:color w:val="000000"/>
                <w:szCs w:val="24"/>
              </w:rPr>
            </w:pPr>
            <w:r w:rsidRPr="006A1690">
              <w:rPr>
                <w:b/>
                <w:bCs/>
                <w:color w:val="000000"/>
                <w:szCs w:val="24"/>
              </w:rPr>
              <w:t>FS-in kind</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14:paraId="4A4AD5CF" w14:textId="79DC7B99" w:rsidR="0016448D" w:rsidRPr="006A1690" w:rsidRDefault="0016448D" w:rsidP="00C7622D">
            <w:pPr>
              <w:jc w:val="center"/>
              <w:rPr>
                <w:b/>
                <w:bCs/>
                <w:color w:val="000000"/>
                <w:szCs w:val="24"/>
              </w:rPr>
            </w:pPr>
            <w:r>
              <w:rPr>
                <w:b/>
                <w:bCs/>
                <w:color w:val="000000"/>
                <w:szCs w:val="24"/>
              </w:rPr>
              <w:t>USFWS</w:t>
            </w:r>
            <w:r w:rsidRPr="006A1690">
              <w:rPr>
                <w:b/>
                <w:bCs/>
                <w:color w:val="000000"/>
                <w:szCs w:val="24"/>
              </w:rPr>
              <w:t>-cash to cooperator</w:t>
            </w:r>
          </w:p>
        </w:tc>
      </w:tr>
      <w:tr w:rsidR="0016448D" w:rsidRPr="006A1690" w14:paraId="708F52B4" w14:textId="77777777" w:rsidTr="0016448D">
        <w:trPr>
          <w:trHeight w:val="330"/>
          <w:jc w:val="center"/>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76D922ED" w14:textId="77777777" w:rsidR="0016448D" w:rsidRPr="006A1690" w:rsidRDefault="0016448D" w:rsidP="00C7622D">
            <w:pPr>
              <w:jc w:val="center"/>
              <w:rPr>
                <w:b/>
                <w:bCs/>
                <w:color w:val="000000"/>
                <w:szCs w:val="24"/>
              </w:rPr>
            </w:pPr>
            <w:r w:rsidRPr="006A1690">
              <w:rPr>
                <w:b/>
                <w:bCs/>
                <w:color w:val="000000"/>
                <w:szCs w:val="24"/>
              </w:rPr>
              <w:t>Salaries</w:t>
            </w:r>
          </w:p>
        </w:tc>
        <w:tc>
          <w:tcPr>
            <w:tcW w:w="1760" w:type="dxa"/>
            <w:tcBorders>
              <w:top w:val="nil"/>
              <w:left w:val="nil"/>
              <w:bottom w:val="single" w:sz="8" w:space="0" w:color="auto"/>
              <w:right w:val="single" w:sz="8" w:space="0" w:color="auto"/>
            </w:tcBorders>
            <w:shd w:val="clear" w:color="auto" w:fill="auto"/>
            <w:vAlign w:val="center"/>
            <w:hideMark/>
          </w:tcPr>
          <w:p w14:paraId="031DE6B2" w14:textId="414FF708" w:rsidR="0016448D" w:rsidRPr="006A1690" w:rsidRDefault="0016448D" w:rsidP="00C7622D">
            <w:pPr>
              <w:jc w:val="center"/>
              <w:rPr>
                <w:b/>
                <w:bCs/>
                <w:color w:val="000000"/>
                <w:szCs w:val="24"/>
              </w:rPr>
            </w:pPr>
          </w:p>
        </w:tc>
        <w:tc>
          <w:tcPr>
            <w:tcW w:w="1760" w:type="dxa"/>
            <w:tcBorders>
              <w:top w:val="nil"/>
              <w:left w:val="nil"/>
              <w:bottom w:val="single" w:sz="8" w:space="0" w:color="auto"/>
              <w:right w:val="single" w:sz="8" w:space="0" w:color="auto"/>
            </w:tcBorders>
            <w:shd w:val="clear" w:color="auto" w:fill="auto"/>
            <w:vAlign w:val="center"/>
            <w:hideMark/>
          </w:tcPr>
          <w:p w14:paraId="2D27F33D" w14:textId="33C4C546" w:rsidR="0016448D" w:rsidRPr="006A1690" w:rsidRDefault="0016448D" w:rsidP="00C7622D">
            <w:pPr>
              <w:jc w:val="center"/>
              <w:rPr>
                <w:b/>
                <w:bCs/>
                <w:color w:val="000000"/>
                <w:szCs w:val="24"/>
              </w:rPr>
            </w:pPr>
          </w:p>
        </w:tc>
      </w:tr>
      <w:tr w:rsidR="0016448D" w:rsidRPr="006A1690" w14:paraId="1D23FA7F" w14:textId="77777777" w:rsidTr="0016448D">
        <w:trPr>
          <w:trHeight w:val="960"/>
          <w:jc w:val="center"/>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4564C863" w14:textId="3D069CAB" w:rsidR="0016448D" w:rsidRPr="006A1690" w:rsidRDefault="0016448D" w:rsidP="00C7622D">
            <w:pPr>
              <w:jc w:val="center"/>
              <w:rPr>
                <w:b/>
                <w:bCs/>
                <w:color w:val="000000"/>
                <w:szCs w:val="24"/>
              </w:rPr>
            </w:pPr>
            <w:r>
              <w:rPr>
                <w:b/>
                <w:bCs/>
                <w:color w:val="000000"/>
                <w:szCs w:val="24"/>
              </w:rPr>
              <w:t>Researchers/</w:t>
            </w:r>
            <w:r w:rsidRPr="006A1690">
              <w:rPr>
                <w:b/>
                <w:bCs/>
                <w:color w:val="000000"/>
                <w:szCs w:val="24"/>
              </w:rPr>
              <w:t>P.I.s</w:t>
            </w:r>
          </w:p>
        </w:tc>
        <w:tc>
          <w:tcPr>
            <w:tcW w:w="1760" w:type="dxa"/>
            <w:tcBorders>
              <w:top w:val="nil"/>
              <w:left w:val="nil"/>
              <w:bottom w:val="single" w:sz="8" w:space="0" w:color="auto"/>
              <w:right w:val="single" w:sz="8" w:space="0" w:color="auto"/>
            </w:tcBorders>
            <w:shd w:val="clear" w:color="auto" w:fill="auto"/>
            <w:vAlign w:val="center"/>
            <w:hideMark/>
          </w:tcPr>
          <w:p w14:paraId="2E5EB018" w14:textId="734F1C89" w:rsidR="0016448D" w:rsidRPr="00C7622D" w:rsidRDefault="0016448D" w:rsidP="00C7622D">
            <w:pPr>
              <w:jc w:val="center"/>
              <w:rPr>
                <w:bCs/>
                <w:color w:val="000000"/>
                <w:szCs w:val="24"/>
              </w:rPr>
            </w:pPr>
            <w:r w:rsidRPr="00C7622D">
              <w:rPr>
                <w:bCs/>
                <w:color w:val="000000"/>
                <w:szCs w:val="24"/>
              </w:rPr>
              <w:t>(0.05 FTE GS-15 FS Tech Rep)</w:t>
            </w:r>
          </w:p>
        </w:tc>
        <w:tc>
          <w:tcPr>
            <w:tcW w:w="1760" w:type="dxa"/>
            <w:tcBorders>
              <w:top w:val="nil"/>
              <w:left w:val="nil"/>
              <w:bottom w:val="single" w:sz="8" w:space="0" w:color="auto"/>
              <w:right w:val="single" w:sz="8" w:space="0" w:color="auto"/>
            </w:tcBorders>
            <w:shd w:val="clear" w:color="auto" w:fill="auto"/>
            <w:vAlign w:val="center"/>
            <w:hideMark/>
          </w:tcPr>
          <w:p w14:paraId="4C2F9931" w14:textId="306A68F8" w:rsidR="0016448D" w:rsidRPr="00C7622D" w:rsidRDefault="0016448D" w:rsidP="00C7622D">
            <w:pPr>
              <w:jc w:val="center"/>
              <w:rPr>
                <w:bCs/>
                <w:color w:val="000000"/>
                <w:szCs w:val="24"/>
              </w:rPr>
            </w:pPr>
            <w:r w:rsidRPr="00C7622D">
              <w:rPr>
                <w:bCs/>
                <w:color w:val="000000"/>
                <w:szCs w:val="24"/>
              </w:rPr>
              <w:t>$</w:t>
            </w:r>
            <w:r>
              <w:rPr>
                <w:bCs/>
                <w:color w:val="000000"/>
                <w:szCs w:val="24"/>
              </w:rPr>
              <w:t>3</w:t>
            </w:r>
            <w:r w:rsidRPr="00C7622D">
              <w:rPr>
                <w:bCs/>
                <w:color w:val="000000"/>
                <w:szCs w:val="24"/>
              </w:rPr>
              <w:t>0,000</w:t>
            </w:r>
          </w:p>
          <w:p w14:paraId="7CCC4D9B" w14:textId="17F868E9" w:rsidR="0016448D" w:rsidRPr="00C7622D" w:rsidRDefault="0016448D" w:rsidP="00C7622D">
            <w:pPr>
              <w:jc w:val="center"/>
              <w:rPr>
                <w:bCs/>
                <w:color w:val="000000"/>
                <w:szCs w:val="24"/>
              </w:rPr>
            </w:pPr>
            <w:r>
              <w:rPr>
                <w:bCs/>
                <w:color w:val="000000"/>
                <w:szCs w:val="24"/>
              </w:rPr>
              <w:t>Researcher</w:t>
            </w:r>
            <w:r w:rsidRPr="00C7622D">
              <w:rPr>
                <w:bCs/>
                <w:color w:val="000000"/>
                <w:szCs w:val="24"/>
              </w:rPr>
              <w:t xml:space="preserve"> Support</w:t>
            </w:r>
            <w:r>
              <w:rPr>
                <w:bCs/>
                <w:color w:val="000000"/>
                <w:szCs w:val="24"/>
              </w:rPr>
              <w:t>/Time</w:t>
            </w:r>
          </w:p>
        </w:tc>
      </w:tr>
      <w:tr w:rsidR="0016448D" w:rsidRPr="006A1690" w14:paraId="11EAA693" w14:textId="77777777" w:rsidTr="0016448D">
        <w:trPr>
          <w:trHeight w:val="315"/>
          <w:jc w:val="center"/>
        </w:trPr>
        <w:tc>
          <w:tcPr>
            <w:tcW w:w="2240" w:type="dxa"/>
            <w:tcBorders>
              <w:top w:val="nil"/>
              <w:left w:val="nil"/>
              <w:bottom w:val="nil"/>
              <w:right w:val="nil"/>
            </w:tcBorders>
            <w:shd w:val="clear" w:color="auto" w:fill="auto"/>
            <w:noWrap/>
            <w:vAlign w:val="center"/>
            <w:hideMark/>
          </w:tcPr>
          <w:p w14:paraId="79463465" w14:textId="77777777" w:rsidR="0016448D" w:rsidRPr="006A1690" w:rsidRDefault="0016448D" w:rsidP="00C7622D">
            <w:pPr>
              <w:jc w:val="center"/>
              <w:rPr>
                <w:b/>
                <w:bCs/>
                <w:color w:val="000000"/>
                <w:szCs w:val="24"/>
              </w:rPr>
            </w:pPr>
            <w:r w:rsidRPr="006A1690">
              <w:rPr>
                <w:b/>
                <w:bCs/>
                <w:color w:val="000000"/>
                <w:szCs w:val="24"/>
              </w:rPr>
              <w:t>Totals</w:t>
            </w:r>
          </w:p>
        </w:tc>
        <w:tc>
          <w:tcPr>
            <w:tcW w:w="1760" w:type="dxa"/>
            <w:tcBorders>
              <w:top w:val="nil"/>
              <w:left w:val="nil"/>
              <w:bottom w:val="nil"/>
              <w:right w:val="nil"/>
            </w:tcBorders>
            <w:shd w:val="clear" w:color="auto" w:fill="auto"/>
            <w:noWrap/>
            <w:vAlign w:val="bottom"/>
            <w:hideMark/>
          </w:tcPr>
          <w:p w14:paraId="1554F54A" w14:textId="5E58F188" w:rsidR="0016448D" w:rsidRPr="006A1690" w:rsidRDefault="0016448D" w:rsidP="00C7622D">
            <w:pPr>
              <w:jc w:val="center"/>
              <w:rPr>
                <w:color w:val="000000"/>
                <w:szCs w:val="24"/>
              </w:rPr>
            </w:pPr>
            <w:r w:rsidRPr="006A1690">
              <w:rPr>
                <w:color w:val="000000"/>
                <w:szCs w:val="24"/>
              </w:rPr>
              <w:t>$</w:t>
            </w:r>
            <w:r>
              <w:rPr>
                <w:color w:val="000000"/>
                <w:szCs w:val="24"/>
              </w:rPr>
              <w:t>7,500</w:t>
            </w:r>
          </w:p>
        </w:tc>
        <w:tc>
          <w:tcPr>
            <w:tcW w:w="1760" w:type="dxa"/>
            <w:tcBorders>
              <w:top w:val="nil"/>
              <w:left w:val="nil"/>
              <w:bottom w:val="nil"/>
              <w:right w:val="nil"/>
            </w:tcBorders>
            <w:shd w:val="clear" w:color="auto" w:fill="auto"/>
            <w:noWrap/>
            <w:vAlign w:val="bottom"/>
            <w:hideMark/>
          </w:tcPr>
          <w:p w14:paraId="7752CF40" w14:textId="69B6F2FD" w:rsidR="0016448D" w:rsidRPr="006A1690" w:rsidRDefault="0016448D" w:rsidP="00C7622D">
            <w:pPr>
              <w:jc w:val="center"/>
              <w:rPr>
                <w:color w:val="000000"/>
                <w:szCs w:val="24"/>
              </w:rPr>
            </w:pPr>
            <w:r w:rsidRPr="006A1690">
              <w:rPr>
                <w:color w:val="000000"/>
                <w:szCs w:val="24"/>
              </w:rPr>
              <w:t>$</w:t>
            </w:r>
            <w:r>
              <w:rPr>
                <w:color w:val="000000"/>
                <w:szCs w:val="24"/>
              </w:rPr>
              <w:t>30,000</w:t>
            </w:r>
          </w:p>
        </w:tc>
      </w:tr>
      <w:tr w:rsidR="0016448D" w:rsidRPr="006A1690" w14:paraId="72D38B4D" w14:textId="77777777" w:rsidTr="0016448D">
        <w:trPr>
          <w:trHeight w:val="315"/>
          <w:jc w:val="center"/>
        </w:trPr>
        <w:tc>
          <w:tcPr>
            <w:tcW w:w="2240" w:type="dxa"/>
            <w:tcBorders>
              <w:top w:val="nil"/>
              <w:left w:val="nil"/>
              <w:bottom w:val="nil"/>
              <w:right w:val="nil"/>
            </w:tcBorders>
            <w:shd w:val="clear" w:color="auto" w:fill="auto"/>
            <w:noWrap/>
            <w:vAlign w:val="center"/>
          </w:tcPr>
          <w:p w14:paraId="6E345EB4" w14:textId="77777777" w:rsidR="0016448D" w:rsidRPr="006A1690" w:rsidRDefault="0016448D" w:rsidP="00146A1D">
            <w:pPr>
              <w:rPr>
                <w:b/>
                <w:bCs/>
                <w:color w:val="000000"/>
                <w:szCs w:val="24"/>
              </w:rPr>
            </w:pPr>
          </w:p>
        </w:tc>
        <w:tc>
          <w:tcPr>
            <w:tcW w:w="1760" w:type="dxa"/>
            <w:tcBorders>
              <w:top w:val="nil"/>
              <w:left w:val="nil"/>
              <w:bottom w:val="nil"/>
              <w:right w:val="nil"/>
            </w:tcBorders>
            <w:shd w:val="clear" w:color="auto" w:fill="auto"/>
            <w:noWrap/>
            <w:vAlign w:val="bottom"/>
          </w:tcPr>
          <w:p w14:paraId="6A2218EC" w14:textId="77777777" w:rsidR="0016448D" w:rsidRPr="006A1690" w:rsidRDefault="0016448D" w:rsidP="00146A1D">
            <w:pPr>
              <w:jc w:val="right"/>
              <w:rPr>
                <w:color w:val="000000"/>
                <w:szCs w:val="24"/>
              </w:rPr>
            </w:pPr>
          </w:p>
        </w:tc>
        <w:tc>
          <w:tcPr>
            <w:tcW w:w="1760" w:type="dxa"/>
            <w:tcBorders>
              <w:top w:val="nil"/>
              <w:left w:val="nil"/>
              <w:bottom w:val="nil"/>
              <w:right w:val="nil"/>
            </w:tcBorders>
            <w:shd w:val="clear" w:color="auto" w:fill="auto"/>
            <w:noWrap/>
            <w:vAlign w:val="bottom"/>
          </w:tcPr>
          <w:p w14:paraId="3923078D" w14:textId="77777777" w:rsidR="0016448D" w:rsidRPr="006A1690" w:rsidRDefault="0016448D" w:rsidP="00146A1D">
            <w:pPr>
              <w:jc w:val="right"/>
              <w:rPr>
                <w:color w:val="000000"/>
                <w:szCs w:val="24"/>
              </w:rPr>
            </w:pPr>
          </w:p>
        </w:tc>
      </w:tr>
      <w:tr w:rsidR="0016448D" w:rsidRPr="006A1690" w14:paraId="58BE4FA8" w14:textId="77777777" w:rsidTr="0016448D">
        <w:trPr>
          <w:trHeight w:val="315"/>
          <w:jc w:val="center"/>
        </w:trPr>
        <w:tc>
          <w:tcPr>
            <w:tcW w:w="2240" w:type="dxa"/>
            <w:tcBorders>
              <w:top w:val="nil"/>
              <w:left w:val="nil"/>
              <w:bottom w:val="nil"/>
              <w:right w:val="nil"/>
            </w:tcBorders>
            <w:shd w:val="clear" w:color="auto" w:fill="auto"/>
            <w:noWrap/>
            <w:vAlign w:val="center"/>
          </w:tcPr>
          <w:p w14:paraId="72051EAE" w14:textId="77777777" w:rsidR="0016448D" w:rsidRPr="006A1690" w:rsidRDefault="0016448D" w:rsidP="00146A1D">
            <w:pPr>
              <w:rPr>
                <w:b/>
                <w:bCs/>
                <w:color w:val="000000"/>
                <w:szCs w:val="24"/>
              </w:rPr>
            </w:pPr>
          </w:p>
        </w:tc>
        <w:tc>
          <w:tcPr>
            <w:tcW w:w="1760" w:type="dxa"/>
            <w:tcBorders>
              <w:top w:val="nil"/>
              <w:left w:val="nil"/>
              <w:bottom w:val="nil"/>
              <w:right w:val="nil"/>
            </w:tcBorders>
            <w:shd w:val="clear" w:color="auto" w:fill="auto"/>
            <w:noWrap/>
            <w:vAlign w:val="bottom"/>
          </w:tcPr>
          <w:p w14:paraId="4976EBC7" w14:textId="77777777" w:rsidR="0016448D" w:rsidRPr="006A1690" w:rsidRDefault="0016448D" w:rsidP="00146A1D">
            <w:pPr>
              <w:jc w:val="right"/>
              <w:rPr>
                <w:color w:val="000000"/>
                <w:szCs w:val="24"/>
              </w:rPr>
            </w:pPr>
          </w:p>
        </w:tc>
        <w:tc>
          <w:tcPr>
            <w:tcW w:w="1760" w:type="dxa"/>
            <w:tcBorders>
              <w:top w:val="nil"/>
              <w:left w:val="nil"/>
              <w:bottom w:val="nil"/>
              <w:right w:val="nil"/>
            </w:tcBorders>
            <w:shd w:val="clear" w:color="auto" w:fill="auto"/>
            <w:noWrap/>
            <w:vAlign w:val="bottom"/>
          </w:tcPr>
          <w:p w14:paraId="724000CA" w14:textId="77777777" w:rsidR="0016448D" w:rsidRPr="006A1690" w:rsidRDefault="0016448D" w:rsidP="00146A1D">
            <w:pPr>
              <w:jc w:val="right"/>
              <w:rPr>
                <w:color w:val="000000"/>
                <w:szCs w:val="24"/>
              </w:rPr>
            </w:pPr>
          </w:p>
        </w:tc>
      </w:tr>
    </w:tbl>
    <w:p w14:paraId="1802C749" w14:textId="77777777" w:rsidR="00146A1D" w:rsidRPr="006A1690" w:rsidRDefault="00146A1D" w:rsidP="003423F0">
      <w:pPr>
        <w:rPr>
          <w:b/>
          <w:szCs w:val="24"/>
        </w:rPr>
      </w:pPr>
    </w:p>
    <w:p w14:paraId="3DA3FA89" w14:textId="77777777" w:rsidR="003423F0" w:rsidRPr="006A1690" w:rsidRDefault="003423F0" w:rsidP="003423F0">
      <w:pPr>
        <w:ind w:left="720" w:hanging="720"/>
        <w:rPr>
          <w:szCs w:val="24"/>
        </w:rPr>
      </w:pPr>
    </w:p>
    <w:sectPr w:rsidR="003423F0" w:rsidRPr="006A1690" w:rsidSect="00E767C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DA6"/>
    <w:multiLevelType w:val="hybridMultilevel"/>
    <w:tmpl w:val="24FAE90A"/>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3E97D98"/>
    <w:multiLevelType w:val="hybridMultilevel"/>
    <w:tmpl w:val="E894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C12B8"/>
    <w:multiLevelType w:val="hybridMultilevel"/>
    <w:tmpl w:val="AD4A65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84548"/>
    <w:multiLevelType w:val="hybridMultilevel"/>
    <w:tmpl w:val="255CA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645669"/>
    <w:multiLevelType w:val="hybridMultilevel"/>
    <w:tmpl w:val="34F02E02"/>
    <w:lvl w:ilvl="0" w:tplc="50F644EE">
      <w:start w:val="1"/>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D232D4"/>
    <w:multiLevelType w:val="hybridMultilevel"/>
    <w:tmpl w:val="70F85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95063"/>
    <w:multiLevelType w:val="hybridMultilevel"/>
    <w:tmpl w:val="7D36E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0067BC"/>
    <w:multiLevelType w:val="hybridMultilevel"/>
    <w:tmpl w:val="48A2D4BC"/>
    <w:lvl w:ilvl="0" w:tplc="9B626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037B04"/>
    <w:multiLevelType w:val="hybridMultilevel"/>
    <w:tmpl w:val="6B18FE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5D6E1A"/>
    <w:multiLevelType w:val="hybridMultilevel"/>
    <w:tmpl w:val="E9B6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9"/>
  </w:num>
  <w:num w:numId="5">
    <w:abstractNumId w:val="5"/>
  </w:num>
  <w:num w:numId="6">
    <w:abstractNumId w:val="7"/>
  </w:num>
  <w:num w:numId="7">
    <w:abstractNumId w:val="4"/>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颜ٺ顔ٺ塸ώ耀耀䀀頄ٺ颠ٺ墠ώ耀峈䀀餴ٺ飬ٺ壈ώ耀㦐䀀颜ٺ餸ٺ声ώ耀ᙘ䀀駌ٺ馄ٺ夘ώ耀䀀餴ٺ駐ٺ奀ώ耀쿨䀀驤ٺ騜ٺ奨ώ耀결 䀀駌ٺ驨ٺ妐ώ耀襸_x000a_䀀髼ٺ骴ٺ妸ώ耀晀䀀驤ٺ鬀ٺ姠ώ耀䌈䀀鮔ٺ魌ٺ嵸ώ耀ῐ_x000a_䀀髼ٺ鮘ٺ娈ώ耀ﲘ_x000a_䀀鰬ٺ鯤ٺ娰ώ耀䀀鮔ٺ鰰ٺ婘ώ耀똨䀀鳄ٺ鱼ٺ媀ώ耀鋰䀀鰬ٺ鳈ٺ媨ώ耀澸䀀鵜ٺ鴔ٺ嫐ώ耀䲀䀀鳄ٺ鵠ٺ嫸ώ耀⥈䀀鶬ٺ嬠ώ耀ؐ䀀鵜ٺ鷸ٺ孈ώ耀䀀鶨ٺ鹄ٺ孰ώ耀뾠䀀鷴ٺ麐ٺ官ώ耀鱨䀀"/>
    <w:docVar w:name="EN.Libraries" w:val="颜ٺ顔ٺ塸ώ耀耀䀀頄ٺ颠ٺ墠ώ耀峈䀀餴ٺ飬ٺ壈ώ耀㦐䀀颜ٺ餸ٺ声ώ耀ᙘ䀀駌ٺ馄ٺ夘ώ耀䀀餴ٺ駐ٺ奀ώ耀쿨䀀驤ٺ騜ٺ奨ώ耀결 䀀駌ٺ驨ٺ妐ώ耀襸_x000a_䀀髼ٺ骴ٺ妸ώ耀晀䀀驤ٺ鬀ٺ姠ώ耀䌈䀀鮔ٺ魌ٺ嵸ώ耀ῐ_x000a_䀀髼ٺ鮘ٺ娈ώ耀ﲘ_x000a_䀀鰬ٺ鯤ٺ娰ώ耀䀀鮔ٺ鰰ٺ婘ώ耀똨䀀鳄ٺ鱼ٺ媀ώ耀鋰䀀鰬ٺ鳈ٺ媨ώ耀澸䀀鵜ٺ鴔ٺ嫐ώ耀䲀䀀鳄ٺ鵠ٺ嫸ώ耀⥈䀀鶬ٺ嬠ώ耀ؐ䀀鵜ٺ鷸ٺ孈ώ耀䀀鶨ٺ鹄ٺ孰ώ耀뾠䀀鷴ٺ麐ٺ官ώ耀鱨䀀奀ώ耀쿨䀀稄ٺ禀ٺ稜ٺ奨ώ耀결 穄ٺ秌ٺ穨ٺ妐ώ窄ٺ耀襸_x000a_䀀稘ٺ窴ٺ妸ώ竄ٺ耀晀䀀穤ٺ笀ٺ笄ٺ姠ώ耀䌈䀀窰ٺ筌ٺ筄ٺ嵸ώ耀ῐ_x000a_䀀箄ٺ竼ٺ箘ٺ娈ώ耀ﲘ_x000a_䀀範ٺ筈ٺ篤ٺ娰ώ簄ٺ䀀箔ٺ簰ٺ婘ώ籄ٺ耀똨䀀篠ٺ籼ٺ粄ٺ媀ώ耀鋰䀀簬ٺ糈ٺ糄ٺ媨ώ耀澸䀀"/>
  </w:docVars>
  <w:rsids>
    <w:rsidRoot w:val="00FF5665"/>
    <w:rsid w:val="00060455"/>
    <w:rsid w:val="00081B39"/>
    <w:rsid w:val="00091D06"/>
    <w:rsid w:val="000969AB"/>
    <w:rsid w:val="000C329D"/>
    <w:rsid w:val="000F5BE5"/>
    <w:rsid w:val="00124710"/>
    <w:rsid w:val="00134BF7"/>
    <w:rsid w:val="00135E07"/>
    <w:rsid w:val="00146A1D"/>
    <w:rsid w:val="0016448D"/>
    <w:rsid w:val="00172FC1"/>
    <w:rsid w:val="001A05D6"/>
    <w:rsid w:val="001C0E29"/>
    <w:rsid w:val="00216D5E"/>
    <w:rsid w:val="00247AE5"/>
    <w:rsid w:val="0027713E"/>
    <w:rsid w:val="002A4228"/>
    <w:rsid w:val="0030590B"/>
    <w:rsid w:val="003423F0"/>
    <w:rsid w:val="003510F0"/>
    <w:rsid w:val="003542CA"/>
    <w:rsid w:val="00370129"/>
    <w:rsid w:val="00373545"/>
    <w:rsid w:val="00387173"/>
    <w:rsid w:val="003C39A9"/>
    <w:rsid w:val="003E70D2"/>
    <w:rsid w:val="00410323"/>
    <w:rsid w:val="00452CE7"/>
    <w:rsid w:val="00453EAC"/>
    <w:rsid w:val="00466E46"/>
    <w:rsid w:val="0047077B"/>
    <w:rsid w:val="004976F6"/>
    <w:rsid w:val="004A6540"/>
    <w:rsid w:val="004D6C7D"/>
    <w:rsid w:val="004E1A54"/>
    <w:rsid w:val="004E1F42"/>
    <w:rsid w:val="005422C8"/>
    <w:rsid w:val="005B5F76"/>
    <w:rsid w:val="00614E20"/>
    <w:rsid w:val="00623CE2"/>
    <w:rsid w:val="00644F2F"/>
    <w:rsid w:val="00663E3D"/>
    <w:rsid w:val="00691281"/>
    <w:rsid w:val="006A1690"/>
    <w:rsid w:val="006B7F29"/>
    <w:rsid w:val="006D274F"/>
    <w:rsid w:val="007418D8"/>
    <w:rsid w:val="00745C4F"/>
    <w:rsid w:val="00752B6F"/>
    <w:rsid w:val="0078616D"/>
    <w:rsid w:val="007D2B0A"/>
    <w:rsid w:val="00802C99"/>
    <w:rsid w:val="008137C9"/>
    <w:rsid w:val="00831142"/>
    <w:rsid w:val="00846E94"/>
    <w:rsid w:val="00876227"/>
    <w:rsid w:val="008A0308"/>
    <w:rsid w:val="008F7173"/>
    <w:rsid w:val="008F7804"/>
    <w:rsid w:val="00915E8F"/>
    <w:rsid w:val="009206D2"/>
    <w:rsid w:val="0092557A"/>
    <w:rsid w:val="00935F5A"/>
    <w:rsid w:val="00992851"/>
    <w:rsid w:val="009B0404"/>
    <w:rsid w:val="009D39C8"/>
    <w:rsid w:val="009E1B86"/>
    <w:rsid w:val="00AA5B96"/>
    <w:rsid w:val="00AE5E4A"/>
    <w:rsid w:val="00AF76AB"/>
    <w:rsid w:val="00B4131E"/>
    <w:rsid w:val="00B534CD"/>
    <w:rsid w:val="00B67424"/>
    <w:rsid w:val="00B738B7"/>
    <w:rsid w:val="00B762A9"/>
    <w:rsid w:val="00BC13C7"/>
    <w:rsid w:val="00C14E92"/>
    <w:rsid w:val="00C331BB"/>
    <w:rsid w:val="00C35C2D"/>
    <w:rsid w:val="00C7622D"/>
    <w:rsid w:val="00CA1484"/>
    <w:rsid w:val="00CB78AA"/>
    <w:rsid w:val="00CB7DFF"/>
    <w:rsid w:val="00D22C4A"/>
    <w:rsid w:val="00D66D6D"/>
    <w:rsid w:val="00D67173"/>
    <w:rsid w:val="00D90092"/>
    <w:rsid w:val="00D939CC"/>
    <w:rsid w:val="00DA4E3A"/>
    <w:rsid w:val="00DE1123"/>
    <w:rsid w:val="00DE7213"/>
    <w:rsid w:val="00E47A07"/>
    <w:rsid w:val="00E62F73"/>
    <w:rsid w:val="00E767C4"/>
    <w:rsid w:val="00E9067B"/>
    <w:rsid w:val="00EA1CA7"/>
    <w:rsid w:val="00EB0778"/>
    <w:rsid w:val="00EB7B36"/>
    <w:rsid w:val="00EC12DD"/>
    <w:rsid w:val="00ED7DEC"/>
    <w:rsid w:val="00EE0826"/>
    <w:rsid w:val="00EF0D84"/>
    <w:rsid w:val="00F00F8C"/>
    <w:rsid w:val="00F34AAE"/>
    <w:rsid w:val="00F61038"/>
    <w:rsid w:val="00F950FE"/>
    <w:rsid w:val="00FA0D76"/>
    <w:rsid w:val="00FF5665"/>
    <w:rsid w:val="00FF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49A2940"/>
  <w15:docId w15:val="{D317DCBF-F972-4697-A688-F5E800F4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66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5F76"/>
    <w:rPr>
      <w:rFonts w:ascii="Tahoma" w:hAnsi="Tahoma" w:cs="Tahoma"/>
      <w:sz w:val="16"/>
      <w:szCs w:val="16"/>
    </w:rPr>
  </w:style>
  <w:style w:type="paragraph" w:styleId="ListParagraph">
    <w:name w:val="List Paragraph"/>
    <w:basedOn w:val="Normal"/>
    <w:uiPriority w:val="34"/>
    <w:qFormat/>
    <w:rsid w:val="00F950FE"/>
    <w:pPr>
      <w:ind w:left="720"/>
      <w:contextualSpacing/>
    </w:pPr>
  </w:style>
  <w:style w:type="table" w:styleId="TableGrid">
    <w:name w:val="Table Grid"/>
    <w:basedOn w:val="TableNormal"/>
    <w:rsid w:val="00D9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44F2F"/>
    <w:rPr>
      <w:color w:val="0000FF"/>
      <w:u w:val="single"/>
    </w:rPr>
  </w:style>
  <w:style w:type="character" w:styleId="FollowedHyperlink">
    <w:name w:val="FollowedHyperlink"/>
    <w:basedOn w:val="DefaultParagraphFont"/>
    <w:semiHidden/>
    <w:unhideWhenUsed/>
    <w:rsid w:val="00752B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098">
      <w:bodyDiv w:val="1"/>
      <w:marLeft w:val="0"/>
      <w:marRight w:val="0"/>
      <w:marTop w:val="0"/>
      <w:marBottom w:val="0"/>
      <w:divBdr>
        <w:top w:val="none" w:sz="0" w:space="0" w:color="auto"/>
        <w:left w:val="none" w:sz="0" w:space="0" w:color="auto"/>
        <w:bottom w:val="none" w:sz="0" w:space="0" w:color="auto"/>
        <w:right w:val="none" w:sz="0" w:space="0" w:color="auto"/>
      </w:divBdr>
    </w:div>
    <w:div w:id="107493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osheds.org/ebtj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2EB5D-D8BE-4BE2-8B1F-F0C95DFF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Joint Venture Agreement</vt:lpstr>
    </vt:vector>
  </TitlesOfParts>
  <Company>USDA Forest Service</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Venture Agreement</dc:title>
  <dc:creator>Andrew</dc:creator>
  <cp:lastModifiedBy>Stephen Perry</cp:lastModifiedBy>
  <cp:revision>2</cp:revision>
  <cp:lastPrinted>2017-03-07T17:24:00Z</cp:lastPrinted>
  <dcterms:created xsi:type="dcterms:W3CDTF">2020-03-10T18:15:00Z</dcterms:created>
  <dcterms:modified xsi:type="dcterms:W3CDTF">2020-03-10T18:15:00Z</dcterms:modified>
</cp:coreProperties>
</file>